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ind w:leftChars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数字媒体艺术本科课程考试安排、报考操作说明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考试安排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75" w:tblpY="280"/>
        <w:tblOverlap w:val="never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62"/>
        <w:gridCol w:w="2160"/>
        <w:gridCol w:w="836"/>
        <w:gridCol w:w="196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课程代码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315" w:firstLineChars="1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考试方式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210" w:firstLineChars="100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考试时间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210" w:firstLineChars="100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08508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210" w:firstLineChars="100"/>
              <w:jc w:val="lef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阴影与透视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笔试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     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08514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广告与包装设计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08509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文字图形创意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08494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素描（五）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04027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设计表现技法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00674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色彩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08511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计算机辅助工业设计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08496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色彩构成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08516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计算机三维绘图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01775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平面构成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（二）报考操作说明</w:t>
      </w:r>
    </w:p>
    <w:p>
      <w:pPr>
        <w:widowControl w:val="0"/>
        <w:numPr>
          <w:ilvl w:val="0"/>
          <w:numId w:val="2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注册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使用电脑浏览器打开网址（已注册通过考生不需重复注册）填写个人信息。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instrText xml:space="preserve"> HYPERLINK "https://zk.sce.scut.edu.cn/netapply/societyStuZsNoticeController.do?index"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z w:val="24"/>
          <w:szCs w:val="24"/>
        </w:rPr>
        <w:t>https://zk.sce.scut.edu.cn/netapply/societyStuZsNoticeController.do?index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审核通过后登录华南理工大学自学考试平台进行报考与缴费。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（网址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"https://zk.sce.scut.edu.cn/loginController.do?login"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https://zk.sce.scut.edu.cn/loginController.do?login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3.完成缴费后按照考试安排时间参加考试。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13906"/>
    <w:multiLevelType w:val="singleLevel"/>
    <w:tmpl w:val="16C139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77237"/>
    <w:multiLevelType w:val="singleLevel"/>
    <w:tmpl w:val="22B77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7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2021-04-21T01:12:34Z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7C9D9086DA9C46BC803450788A49D8CC</vt:lpwstr>
  </property>
</Properties>
</file>